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028" w:rsidRDefault="008127D9" w:rsidP="004F1DF9">
      <w:pPr>
        <w:tabs>
          <w:tab w:val="left" w:pos="0"/>
          <w:tab w:val="left" w:pos="8820"/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</w:rPr>
        <w:t>Агафонов</w:t>
      </w:r>
      <w:r w:rsidR="004F1D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F1DF9">
        <w:rPr>
          <w:rFonts w:ascii="Times New Roman" w:eastAsia="Times New Roman" w:hAnsi="Times New Roman" w:cs="Times New Roman"/>
          <w:b/>
          <w:sz w:val="28"/>
          <w:szCs w:val="28"/>
        </w:rPr>
        <w:t>В.А.</w:t>
      </w:r>
    </w:p>
    <w:bookmarkEnd w:id="0"/>
    <w:p w:rsidR="000B0028" w:rsidRPr="004F1DF9" w:rsidRDefault="008127D9" w:rsidP="004F1DF9">
      <w:pPr>
        <w:tabs>
          <w:tab w:val="left" w:pos="0"/>
          <w:tab w:val="left" w:pos="8820"/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F1DF9">
        <w:rPr>
          <w:rFonts w:ascii="Times New Roman" w:eastAsia="Times New Roman" w:hAnsi="Times New Roman" w:cs="Times New Roman"/>
          <w:i/>
          <w:sz w:val="28"/>
          <w:szCs w:val="28"/>
        </w:rPr>
        <w:t>Москва, ЦЭМИ РАН</w:t>
      </w:r>
    </w:p>
    <w:p w:rsidR="000B0028" w:rsidRDefault="008127D9" w:rsidP="004F1DF9">
      <w:pPr>
        <w:tabs>
          <w:tab w:val="left" w:pos="0"/>
          <w:tab w:val="left" w:pos="8820"/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v-agafonov@yandex.ru</w:t>
      </w:r>
    </w:p>
    <w:p w:rsidR="004F1DF9" w:rsidRDefault="004F1DF9" w:rsidP="004F1DF9">
      <w:pPr>
        <w:tabs>
          <w:tab w:val="left" w:pos="0"/>
          <w:tab w:val="left" w:pos="8820"/>
          <w:tab w:val="left" w:pos="93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B0028" w:rsidRDefault="004F1DF9" w:rsidP="004F1DF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СТРАТЕГИЯ ФОРМИРОВАНИЯ РЕГИОНАЛЬНЫХ ЦЕНТРОВ РАЗВИТИЯ</w:t>
      </w:r>
    </w:p>
    <w:p w:rsidR="004F1DF9" w:rsidRDefault="004F1DF9" w:rsidP="004F1DF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1DF9" w:rsidRDefault="008127D9" w:rsidP="004F1DF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Представляется весьма настоятельной научной задачей,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исследование и уточнение некоторых методологических аспектов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такого направления совершенствования стратегического управления, как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региональных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центров  развития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ЦР). </w:t>
      </w:r>
    </w:p>
    <w:p w:rsidR="000B0028" w:rsidRDefault="008127D9" w:rsidP="004F1DF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Понятие развития СЭС является многоаспектным и может рассматриваться с позиций различных заинтересованных членов социума. Например,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многих экономистов смысл  развития   заключается в ускорении экономического роста, который, с одной стороны, обусловлен, а с другой стороны, влечет за собой прочие социальные, экологические  и технологические изменения. С точки зрения бизнес-сообщества,  </w:t>
      </w:r>
      <w:r>
        <w:rPr>
          <w:rFonts w:ascii="Times New Roman" w:eastAsia="Times New Roman" w:hAnsi="Times New Roman" w:cs="Times New Roman"/>
          <w:sz w:val="28"/>
          <w:szCs w:val="28"/>
        </w:rPr>
        <w:t>экономическое развитие, в первую очередь, должно способствовать повышению  конкурентоспособности и деловой активности, накоплению знаний в сфере управления, повышения уровня развития персонала.  Представители органов государственного управления, могут связ</w:t>
      </w:r>
      <w:r>
        <w:rPr>
          <w:rFonts w:ascii="Times New Roman" w:eastAsia="Times New Roman" w:hAnsi="Times New Roman" w:cs="Times New Roman"/>
          <w:sz w:val="28"/>
          <w:szCs w:val="28"/>
        </w:rPr>
        <w:t>ывать развитие с повышением рейтинга региона, повышением его роли в общестрановых социально-экономических процессах, улучшении целевых показателей, соответствующих приоритетам развития страны в целом, начиная от демографических показателей и заканчивая пок</w:t>
      </w:r>
      <w:r>
        <w:rPr>
          <w:rFonts w:ascii="Times New Roman" w:eastAsia="Times New Roman" w:hAnsi="Times New Roman" w:cs="Times New Roman"/>
          <w:sz w:val="28"/>
          <w:szCs w:val="28"/>
        </w:rPr>
        <w:t>азателями голосования на парламентских и президентских выборах. Защитники окружающей среды представляют его как устойчивое развитие, гармонизирующее экологические, экономические и социальные системы. Представители общественных организаций и профсоюзов связ</w:t>
      </w:r>
      <w:r>
        <w:rPr>
          <w:rFonts w:ascii="Times New Roman" w:eastAsia="Times New Roman" w:hAnsi="Times New Roman" w:cs="Times New Roman"/>
          <w:sz w:val="28"/>
          <w:szCs w:val="28"/>
        </w:rPr>
        <w:t>ывают экономическое развитие с повышением доходов, улучшением условий труда, созданием новых, престижных рабочих мест, повышением уровня базового образования и качества подготовки кадров. Для руководителей и  специалистов в сфере местного самоуправления, э</w:t>
      </w:r>
      <w:r>
        <w:rPr>
          <w:rFonts w:ascii="Times New Roman" w:eastAsia="Times New Roman" w:hAnsi="Times New Roman" w:cs="Times New Roman"/>
          <w:sz w:val="28"/>
          <w:szCs w:val="28"/>
        </w:rPr>
        <w:t>кономическое развитие – это способ укрепления муниципальной экономики в целях сокращения бедности и неравенства, создание новых, более качественных рабочих мест, реализация социальных проектов и программ. Данный выбор объекта исследования обусловлен тем, 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это уровень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фактической </w:t>
      </w:r>
      <w:r>
        <w:rPr>
          <w:rFonts w:ascii="Times New Roman" w:eastAsia="Times New Roman" w:hAnsi="Times New Roman" w:cs="Times New Roman"/>
          <w:sz w:val="28"/>
          <w:szCs w:val="28"/>
        </w:rPr>
        <w:t>локализации и структуризаци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проблем, (их симптоматики, локализации факторов и последствий, действий по их решению, субъектов осуществления действий, систем управления и др.).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составе стратегии решения проблемы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проекты образую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весьма сложный комплекс взаимосвязанных мероприятий, в которых участвуют предприятия и организации разных видов деятельности, локализованных на разных территориях, относящихся к различным сферам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социо-эколого-эакономических систем. То есть говоря о страт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егическом планировании в контексте процедур формирования стратегий, анализа их структуры и содержания, мы </w:t>
      </w:r>
      <w:r>
        <w:rPr>
          <w:rFonts w:ascii="Times New Roman" w:eastAsia="Times New Roman" w:hAnsi="Times New Roman" w:cs="Times New Roman"/>
          <w:sz w:val="28"/>
          <w:szCs w:val="28"/>
        </w:rPr>
        <w:t>неизбежно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выходим на мезоуровень.  </w:t>
      </w:r>
    </w:p>
    <w:p w:rsidR="004F1DF9" w:rsidRDefault="008127D9" w:rsidP="004F1DF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социально-экономическим системам мезоуровня (далее </w:t>
      </w:r>
      <w:r>
        <w:rPr>
          <w:rFonts w:ascii="Times New Roman" w:eastAsia="Times New Roman" w:hAnsi="Times New Roman" w:cs="Times New Roman"/>
          <w:sz w:val="28"/>
          <w:szCs w:val="28"/>
        </w:rPr>
        <w:t>СЭСМУ</w:t>
      </w:r>
      <w:r>
        <w:rPr>
          <w:rFonts w:ascii="Times New Roman" w:eastAsia="Times New Roman" w:hAnsi="Times New Roman" w:cs="Times New Roman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можно относить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во-первых, институционально зафиксиро</w:t>
      </w:r>
      <w:r>
        <w:rPr>
          <w:rFonts w:ascii="Times New Roman" w:eastAsia="Times New Roman" w:hAnsi="Times New Roman" w:cs="Times New Roman"/>
          <w:sz w:val="28"/>
          <w:szCs w:val="28"/>
        </w:rPr>
        <w:t>ванные образования, такие как, Субъекты Федерации, муниципальные образования, отраслевые комплексы и крупные корпорации, объединяющие десятки производств различной отраслевой принадлежности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видов деятельности, учебно-научно-производственные объединения,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типа Сколково, МГУ и др., кластерные структуры, в их расширенном понимании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Кроме этого, под понятие СЭСМУ, на наш взгляд, подпадают временные (проектные, по Клейнеру), подсистемы СЭС, которые  образованы субъектами, объединенными едиными процессами решен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ия определенных проблем. Например, проблемами, обусловленными реализацией национальных проектов. </w:t>
      </w:r>
      <w:r>
        <w:rPr>
          <w:rFonts w:ascii="Times New Roman" w:eastAsia="Times New Roman" w:hAnsi="Times New Roman" w:cs="Times New Roman"/>
          <w:sz w:val="28"/>
          <w:szCs w:val="28"/>
        </w:rPr>
        <w:t>На наш взгляд важнейшее место в ряду СЭСМУ занимают региональные объекты. Это связано с рядом обстоятельств. Прежде всего, 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юбой конкретный проект реализуется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вполне конкретной территории в заданных условиях внешнего окружения (по отношению к проекту).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егионы очень различаются по своим ресурсным, природно-климатическим, экологическим, социально-демографическим и другим условиям, при том, что природные рес</w:t>
      </w:r>
      <w:r>
        <w:rPr>
          <w:rFonts w:ascii="Times New Roman" w:eastAsia="Times New Roman" w:hAnsi="Times New Roman" w:cs="Times New Roman"/>
          <w:sz w:val="28"/>
          <w:szCs w:val="28"/>
        </w:rPr>
        <w:t>урсы, также как и человеческие, являются на сегодня единственным серьезным фактором социально-экономического развития страны.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невозможно не учитывать региональную специфику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(экология,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</w:rPr>
        <w:t>радиции, образ жизни, социальные проблемы, и пр.). Важным также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условие наличия институциональной среды, заключающийся в том, что успех любого проекта обусловлен поддержкой со стороны региональных властей, реакции бизнес-сообщества, населения. Поэтому выбор региональных СЭСМУ в качестве объекта исследования о</w:t>
      </w:r>
      <w:r>
        <w:rPr>
          <w:rFonts w:ascii="Times New Roman" w:eastAsia="Times New Roman" w:hAnsi="Times New Roman" w:cs="Times New Roman"/>
          <w:sz w:val="28"/>
          <w:szCs w:val="28"/>
        </w:rPr>
        <w:t>бусловлен их значимостью с точки зрения иерархического представления процессов социально-экономического развития страны. С одной стороны в стратегиях развития СЭС этого уровня интегрируются конкретные программы и проекты инвестиционного и инновационного ра</w:t>
      </w:r>
      <w:r>
        <w:rPr>
          <w:rFonts w:ascii="Times New Roman" w:eastAsia="Times New Roman" w:hAnsi="Times New Roman" w:cs="Times New Roman"/>
          <w:sz w:val="28"/>
          <w:szCs w:val="28"/>
        </w:rPr>
        <w:t>звития и механизмы и результаты этой интеграции вполне определенны. С другой стороны общенациональные решения в инвестиционной и инновационной сфере естественно “раскрываются” в стратегиях развития СЭСМУ. То есть решения, принятые на региональном уровне 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гко “читаются “ на верхнем и нижнем уровнях хозяйственной иерархии.  Следует учитывать также актуальность процессов регионализации экономики, тенденции к децентрализации управления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национальной  экономике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значительное внимание, которое уделяется таким с</w:t>
      </w:r>
      <w:r>
        <w:rPr>
          <w:rFonts w:ascii="Times New Roman" w:eastAsia="Times New Roman" w:hAnsi="Times New Roman" w:cs="Times New Roman"/>
          <w:sz w:val="28"/>
          <w:szCs w:val="28"/>
        </w:rPr>
        <w:t>оциально-экономическим образованиям, как кластеры и технологические платформы.</w:t>
      </w:r>
    </w:p>
    <w:p w:rsidR="004F1DF9" w:rsidRDefault="008127D9" w:rsidP="004F1DF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 региональном уровне в качестве ведущего звена развития предлагается рассматривать региональные центры развития (РЦР), что обусловлено рядом их желательных (ожидаемых) функ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ций. </w:t>
      </w:r>
      <w:r>
        <w:rPr>
          <w:rFonts w:ascii="Times New Roman" w:eastAsia="Times New Roman" w:hAnsi="Times New Roman" w:cs="Times New Roman"/>
          <w:sz w:val="28"/>
          <w:szCs w:val="28"/>
        </w:rPr>
        <w:t>Прежде всего, по определению, ЦР должны стимулировать формирование новой инновационной производственно-технологической среды, человеческого потенциала нового качества, научного, образовательного и инновационного потенциала. Особое значение имеет форми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рование социоэкономической среды, новых образцов трудового и общественного поведения, модифицированной культурно и ментальной средой. Важнейшей функцией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ЦР является реализация механизмов “диффузии технологий” [Янч, 1970] и распространения их на </w:t>
      </w:r>
      <w:r>
        <w:rPr>
          <w:rFonts w:ascii="Times New Roman" w:eastAsia="Times New Roman" w:hAnsi="Times New Roman" w:cs="Times New Roman"/>
          <w:sz w:val="28"/>
          <w:szCs w:val="28"/>
        </w:rPr>
        <w:t>сопряженные и технологически связанные виды 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Среди </w:t>
      </w:r>
      <w:r>
        <w:rPr>
          <w:rFonts w:ascii="Times New Roman" w:eastAsia="Times New Roman" w:hAnsi="Times New Roman"/>
          <w:sz w:val="28"/>
          <w:szCs w:val="28"/>
        </w:rPr>
        <w:t xml:space="preserve">других </w:t>
      </w:r>
      <w:r>
        <w:rPr>
          <w:rFonts w:ascii="Times New Roman" w:eastAsia="Times New Roman" w:hAnsi="Times New Roman"/>
          <w:sz w:val="28"/>
          <w:szCs w:val="28"/>
        </w:rPr>
        <w:t xml:space="preserve">свойств 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ЦР отметим следующие</w:t>
      </w:r>
      <w:r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общеэкономическая эффективность функционирования определяе</w:t>
      </w:r>
      <w:r>
        <w:rPr>
          <w:rFonts w:ascii="Times New Roman" w:eastAsia="Times New Roman" w:hAnsi="Times New Roman"/>
          <w:sz w:val="28"/>
          <w:szCs w:val="28"/>
        </w:rPr>
        <w:t>мая</w:t>
      </w:r>
      <w:r>
        <w:rPr>
          <w:rFonts w:ascii="Times New Roman" w:eastAsia="Times New Roman" w:hAnsi="Times New Roman"/>
          <w:sz w:val="28"/>
          <w:szCs w:val="28"/>
        </w:rPr>
        <w:t xml:space="preserve"> технологической, информационной, социальной, инфраструктурной взаимосвязанност</w:t>
      </w:r>
      <w:r>
        <w:rPr>
          <w:rFonts w:ascii="Times New Roman" w:eastAsia="Times New Roman" w:hAnsi="Times New Roman"/>
          <w:sz w:val="28"/>
          <w:szCs w:val="28"/>
        </w:rPr>
        <w:t>ью</w:t>
      </w:r>
      <w:r>
        <w:rPr>
          <w:rFonts w:ascii="Times New Roman" w:eastAsia="Times New Roman" w:hAnsi="Times New Roman"/>
          <w:sz w:val="28"/>
          <w:szCs w:val="28"/>
        </w:rPr>
        <w:t xml:space="preserve"> и взаимодоп</w:t>
      </w:r>
      <w:r>
        <w:rPr>
          <w:rFonts w:ascii="Times New Roman" w:eastAsia="Times New Roman" w:hAnsi="Times New Roman"/>
          <w:sz w:val="28"/>
          <w:szCs w:val="28"/>
        </w:rPr>
        <w:t>олняемост</w:t>
      </w:r>
      <w:r>
        <w:rPr>
          <w:rFonts w:ascii="Times New Roman" w:eastAsia="Times New Roman" w:hAnsi="Times New Roman"/>
          <w:sz w:val="28"/>
          <w:szCs w:val="28"/>
        </w:rPr>
        <w:t>ью</w:t>
      </w:r>
      <w:r>
        <w:rPr>
          <w:rFonts w:ascii="Times New Roman" w:eastAsia="Times New Roman" w:hAnsi="Times New Roman"/>
          <w:sz w:val="28"/>
          <w:szCs w:val="28"/>
        </w:rPr>
        <w:t xml:space="preserve"> деятельности организаций в составе 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ЦР, органов исполнительной и законодательной власти, организаций гражданского общества. 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ЦР необходимо рассматривать как совокупность некоторых основных производств, ориентированных на внешний спрос; сопряжен</w:t>
      </w:r>
      <w:r>
        <w:rPr>
          <w:rFonts w:ascii="Times New Roman" w:eastAsia="Times New Roman" w:hAnsi="Times New Roman"/>
          <w:sz w:val="28"/>
          <w:szCs w:val="28"/>
        </w:rPr>
        <w:t xml:space="preserve">ных производств, обеспечивающих основную деятельность необходимыми инвестиционными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  человеческими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ресурсами, сырьем и материалами, результатами НИОКР;  сферу потребления продуктов и услуг, генерируемых ЦР. </w:t>
      </w:r>
    </w:p>
    <w:p w:rsidR="000B0028" w:rsidRPr="004F1DF9" w:rsidRDefault="008127D9" w:rsidP="004F1DF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составе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ЦР необходимо выделять и анализирова</w:t>
      </w:r>
      <w:r>
        <w:rPr>
          <w:rFonts w:ascii="Times New Roman" w:eastAsia="Times New Roman" w:hAnsi="Times New Roman" w:cs="Times New Roman"/>
          <w:sz w:val="28"/>
          <w:szCs w:val="28"/>
        </w:rPr>
        <w:t>ть функционирование следующих функциональные подсистем. Базовые конкурентоспособные производства; обеспечивающие виды деятельности; производство и обслуживание оборудования для базовых и обеспечивающих видов деятельности; организации, осуществляющие погото</w:t>
      </w:r>
      <w:r>
        <w:rPr>
          <w:rFonts w:ascii="Times New Roman" w:eastAsia="Times New Roman" w:hAnsi="Times New Roman" w:cs="Times New Roman"/>
          <w:sz w:val="28"/>
          <w:szCs w:val="28"/>
        </w:rPr>
        <w:t>вку персонала в соответствие совокупными потребностями  всех производств, локализованных на рассматриваемой территории; научно-исследовательские и опытно-конструкторсие организации; организации инвестиционно-финансового сектора, обеспечивающие инвестиционн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о-финансовые процессы в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ЦР; подсистемы информационного олеспечения и управления; организации, осуществляющие природоохранную деятельность и утилизацию отходов; элементы инфраструктуры: транспортно-логистической, информационной, рыночной, социальной. Сущес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твенно, что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ЦР могут включать элементы некоторых государственных организаций таких, как, например, как агентва по стандартам, научно-образовательные центры, профессиональные объединения.  </w:t>
      </w:r>
    </w:p>
    <w:p w:rsidR="000B0028" w:rsidRDefault="008127D9" w:rsidP="004F1DF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нашей точки зрения наиболее кардинальным глобальным направлением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совершенствования управления разработкой стратегий является  модификация форм и методов организации процессов управления на основе усиления различных аспектов децентрализации. 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институтов гражданского общество, обеспечение прозрачности принимаемых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управленческих решений, обеспечение обратных связей между субъектами принятия  решений и сферой локализации последствий принимаемых решений. </w:t>
      </w:r>
      <w:r>
        <w:rPr>
          <w:rFonts w:ascii="Times New Roman" w:hAnsi="Times New Roman" w:cs="Times New Roman"/>
          <w:sz w:val="28"/>
          <w:szCs w:val="28"/>
        </w:rPr>
        <w:t>В контексте данного направления предлагается рассматривать следующие  формы и методы совершенствования в сфере упр</w:t>
      </w:r>
      <w:r>
        <w:rPr>
          <w:rFonts w:ascii="Times New Roman" w:hAnsi="Times New Roman" w:cs="Times New Roman"/>
          <w:sz w:val="28"/>
          <w:szCs w:val="28"/>
        </w:rPr>
        <w:t xml:space="preserve">авления:  децентрализация и внедрение мотивационного принципа управления, повышение эффективности мониторинга и обратной связи,  обеспечение координации  принимаемых управленческих решений в связанных сферах экономики, обеспечение прозрачности принимаемых </w:t>
      </w:r>
      <w:r>
        <w:rPr>
          <w:rFonts w:ascii="Times New Roman" w:hAnsi="Times New Roman" w:cs="Times New Roman"/>
          <w:sz w:val="28"/>
          <w:szCs w:val="28"/>
        </w:rPr>
        <w:t>решений, обеспечение соответствия обязательств и ресурсного обеспечения, обеспечение законодательной базы и адекватного методического обеспечения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 направлениям могут быть поставлены в соответствие меры в сфере совершенствования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стратегиче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управления на региональном уровне.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Важнейшими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представляются следующие. 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Реанимация института ежегодной подготовки, во-первых, Доклада о результатах и основных направлениях деятельности Правительства РФ, во-вторых, Докладов о результатах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направлениях деятельности Региональных администраций (ДРОНДов).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институциональное закрепления принципов и форм поддержки проектов в составе стратегии.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Модификация системы полномочий в принятии и реализации управленческих решений, на основе делегирования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и ответственности с федерального на региональный и, далее, муниципальный уровни управления.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 в практику принятия решений методо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логии и методов программно-целевого планирования, переход на программный метод управления социально-экономическим развитием.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оптимального сочетания бюджетных и внебюджетных источников финансирования проектов, образующих стратегию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рактику хозяйственной деятельности механизмов частно-государственного партнерства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оздание института ответственности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принимающих управленческие решения за эффективность их разработки и исполнения, перед обществом и вышестоящими органами управления,</w:t>
      </w:r>
    </w:p>
    <w:p w:rsidR="000B0028" w:rsidRDefault="008127D9" w:rsidP="004F1DF9">
      <w:pPr>
        <w:pStyle w:val="a4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дготовка персонала нового качества (профессиональное обучение, переподготовка, привлечение высококвалифицированного управленческого персонала извне); </w:t>
      </w:r>
    </w:p>
    <w:p w:rsidR="000B0028" w:rsidRDefault="008127D9" w:rsidP="004F1DF9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формирования центров инновационного развития. Неинновационного развития не бывает, но здес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имеется в виду их специфическая целевая функция: стимулирование, генерация и имплементация инноваций. </w:t>
      </w:r>
    </w:p>
    <w:p w:rsidR="000B0028" w:rsidRDefault="008127D9" w:rsidP="004F1DF9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Созд</w:t>
      </w:r>
      <w:r>
        <w:rPr>
          <w:rFonts w:ascii="Times New Roman" w:hAnsi="Times New Roman" w:cs="Times New Roman"/>
          <w:sz w:val="28"/>
          <w:szCs w:val="28"/>
        </w:rPr>
        <w:t xml:space="preserve">ание информационно-аналитических систем, как важного инструмента обеспечения прозрачности и демократизации процессов управления. </w:t>
      </w:r>
    </w:p>
    <w:p w:rsidR="000B0028" w:rsidRDefault="008127D9" w:rsidP="004F1DF9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инн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овационной ментальной  среды, общественного мнения и восприятия, формирование в обществе готовности и нацеленности на инновационное развитие. Продвижение в общественное сознание, на уровне национальной идеи, принципа «Выживание общества требует инноваций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всех формах и видах деятельности». </w:t>
      </w:r>
    </w:p>
    <w:p w:rsidR="000B0028" w:rsidRDefault="008127D9" w:rsidP="004F1DF9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системы общественного мониторинга проектов и программ,  пользующихся государственной поддержки, с целью  контроля за эффективностью расходования общественных средств (средств налогоплательщиков).</w:t>
      </w:r>
    </w:p>
    <w:p w:rsidR="000B0028" w:rsidRDefault="008127D9" w:rsidP="004F1DF9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механизмов обратной связи между результатами действий органов государственного управления и оценками их общественной эффективности стимулирование институтов общественных слушаний и проведения референдумов по поводу проектов планируемых к реализации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анами управления, </w:t>
      </w:r>
    </w:p>
    <w:p w:rsidR="000B0028" w:rsidRDefault="008127D9" w:rsidP="004F1DF9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института профессиональной экспертизы проектов, претендующих на поддержку со стороны государства, особенно в инвестиционной сфере. Формирование экспертного сообщества.</w:t>
      </w:r>
    </w:p>
    <w:p w:rsidR="000B0028" w:rsidRDefault="008127D9" w:rsidP="004F1DF9">
      <w:pPr>
        <w:numPr>
          <w:ilvl w:val="0"/>
          <w:numId w:val="2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инфраструктуры инновационного развития, включаю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аучно-исследовательская деятельность и проведение   необходимых НИОКР в сфере формирования методологии стратегического управления;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нформационно-аналитические системы, описывающие потенциал развития исследуемой 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инансовое обеспечение (иннова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ционные фонды, консалтинговые компании, компании информационной поддержки)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центров интегр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исследований и активност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0028" w:rsidRDefault="008127D9" w:rsidP="004F1DF9">
      <w:pPr>
        <w:pStyle w:val="a4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системы критериальных показателей качества деятельности системы управления (оценки эффек</w:t>
      </w:r>
      <w:r>
        <w:rPr>
          <w:rFonts w:ascii="Times New Roman" w:hAnsi="Times New Roman" w:cs="Times New Roman"/>
          <w:sz w:val="28"/>
          <w:szCs w:val="28"/>
        </w:rPr>
        <w:t>тивности деятельности управленцев).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института «эффективных менеджеров» и максимальная активизация территориальных и отраслевых программ подготовки управленческих кадров на всех уровнях.  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преемственности по всей линии, от конкурсов в сфере фундаментальных исследований до </w:t>
      </w:r>
      <w:r>
        <w:rPr>
          <w:rFonts w:ascii="Times New Roman" w:hAnsi="Times New Roman" w:cs="Times New Roman"/>
          <w:sz w:val="28"/>
          <w:szCs w:val="28"/>
          <w:lang w:val="en-US"/>
        </w:rPr>
        <w:t>Worldskills</w:t>
      </w:r>
      <w:r>
        <w:rPr>
          <w:rFonts w:ascii="Times New Roman" w:hAnsi="Times New Roman" w:cs="Times New Roman"/>
          <w:sz w:val="28"/>
          <w:szCs w:val="28"/>
        </w:rPr>
        <w:t xml:space="preserve">.  Создание единой информационной базы по персоналиям, прошедшим подготовку и участия в различных программах, от Президентских программ до </w:t>
      </w:r>
      <w:r>
        <w:rPr>
          <w:rFonts w:ascii="Times New Roman" w:hAnsi="Times New Roman" w:cs="Times New Roman"/>
          <w:sz w:val="28"/>
          <w:szCs w:val="28"/>
        </w:rPr>
        <w:t>региональных и корпоративных программ)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информационной базы по инновационным инвестиционным проектам и установление соответствия между этой базой </w:t>
      </w:r>
      <w:r>
        <w:rPr>
          <w:rFonts w:ascii="Times New Roman" w:hAnsi="Times New Roman" w:cs="Times New Roman"/>
          <w:sz w:val="28"/>
          <w:szCs w:val="28"/>
        </w:rPr>
        <w:lastRenderedPageBreak/>
        <w:t>и базой потребностей бизнеса и органов управления в персонале определенной квалификации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</w:t>
      </w:r>
      <w:r>
        <w:rPr>
          <w:rFonts w:ascii="Times New Roman" w:hAnsi="Times New Roman" w:cs="Times New Roman"/>
          <w:sz w:val="28"/>
          <w:szCs w:val="28"/>
        </w:rPr>
        <w:t xml:space="preserve">мы формирования инновационных центров (центров  инновационного развития), академгородки, инновационные кластеры, прочие формы интеграции науки и бизнеса). 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Создание института гласной а</w:t>
      </w:r>
      <w:r>
        <w:rPr>
          <w:rFonts w:ascii="Times New Roman" w:hAnsi="Times New Roman" w:cs="Times New Roman"/>
          <w:sz w:val="28"/>
          <w:szCs w:val="28"/>
        </w:rPr>
        <w:t>дресн</w:t>
      </w:r>
      <w:r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наиболее перспективных проектов.</w:t>
      </w:r>
      <w:r>
        <w:rPr>
          <w:rFonts w:ascii="Times New Roman" w:hAnsi="Times New Roman" w:cs="Times New Roman"/>
          <w:sz w:val="28"/>
          <w:szCs w:val="28"/>
        </w:rPr>
        <w:t>, вносящих системный в</w:t>
      </w:r>
      <w:r>
        <w:rPr>
          <w:rFonts w:ascii="Times New Roman" w:hAnsi="Times New Roman" w:cs="Times New Roman"/>
          <w:sz w:val="28"/>
          <w:szCs w:val="28"/>
        </w:rPr>
        <w:t xml:space="preserve">клад в решение общественно значимых проблем.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028" w:rsidRDefault="008127D9" w:rsidP="004F1DF9">
      <w:pPr>
        <w:pStyle w:val="a4"/>
        <w:numPr>
          <w:ilvl w:val="0"/>
          <w:numId w:val="2"/>
        </w:numPr>
        <w:tabs>
          <w:tab w:val="left" w:pos="732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Законодательное закрепление регламента осуществления процедур стратегического планирования, основанных на оптимальном сочетании государственного (централизованного) и рыночн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(децентрализованных) форм и </w:t>
      </w:r>
      <w:r>
        <w:rPr>
          <w:rFonts w:ascii="Times New Roman" w:hAnsi="Times New Roman" w:cs="Times New Roman"/>
          <w:sz w:val="28"/>
          <w:szCs w:val="28"/>
        </w:rPr>
        <w:t>меха</w:t>
      </w:r>
      <w:r>
        <w:rPr>
          <w:rFonts w:ascii="Times New Roman" w:hAnsi="Times New Roman" w:cs="Times New Roman"/>
          <w:sz w:val="28"/>
          <w:szCs w:val="28"/>
        </w:rPr>
        <w:t>низмов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управления.  </w:t>
      </w:r>
    </w:p>
    <w:p w:rsidR="004F1DF9" w:rsidRDefault="004F1DF9" w:rsidP="004F1DF9">
      <w:pPr>
        <w:pStyle w:val="a4"/>
        <w:tabs>
          <w:tab w:val="left" w:pos="732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4F1DF9" w:rsidRPr="004F1DF9" w:rsidRDefault="004F1DF9" w:rsidP="004F1DF9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1D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 использованной литературы:</w:t>
      </w:r>
    </w:p>
    <w:p w:rsidR="000B0028" w:rsidRPr="004F1DF9" w:rsidRDefault="008127D9" w:rsidP="004F1DF9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</w:rPr>
      </w:pPr>
      <w:proofErr w:type="spellStart"/>
      <w:r w:rsidRPr="004F1DF9">
        <w:rPr>
          <w:rFonts w:ascii="Times New Roman" w:eastAsia="Times New Roman" w:hAnsi="Times New Roman"/>
          <w:sz w:val="24"/>
          <w:szCs w:val="28"/>
        </w:rPr>
        <w:t>К</w:t>
      </w:r>
      <w:r w:rsidRPr="004F1DF9">
        <w:rPr>
          <w:rFonts w:ascii="Times New Roman" w:eastAsia="Times New Roman" w:hAnsi="Times New Roman"/>
          <w:sz w:val="24"/>
          <w:szCs w:val="28"/>
        </w:rPr>
        <w:t>лейнер</w:t>
      </w:r>
      <w:proofErr w:type="spellEnd"/>
      <w:r w:rsidRPr="004F1DF9">
        <w:rPr>
          <w:rFonts w:ascii="Times New Roman" w:eastAsia="Times New Roman" w:hAnsi="Times New Roman"/>
          <w:sz w:val="24"/>
          <w:szCs w:val="28"/>
        </w:rPr>
        <w:t xml:space="preserve"> </w:t>
      </w:r>
      <w:proofErr w:type="gramStart"/>
      <w:r w:rsidRPr="004F1DF9">
        <w:rPr>
          <w:rFonts w:ascii="Times New Roman" w:eastAsia="Times New Roman" w:hAnsi="Times New Roman"/>
          <w:sz w:val="24"/>
          <w:szCs w:val="28"/>
        </w:rPr>
        <w:t>Г.Б..</w:t>
      </w:r>
      <w:proofErr w:type="gramEnd"/>
      <w:r w:rsidRPr="004F1DF9">
        <w:rPr>
          <w:rFonts w:ascii="Times New Roman" w:eastAsia="Times New Roman" w:hAnsi="Times New Roman"/>
          <w:sz w:val="24"/>
          <w:szCs w:val="28"/>
        </w:rPr>
        <w:t xml:space="preserve"> Стратегия предприятия.  М.: «Дело» АНХ.  2008</w:t>
      </w:r>
      <w:r w:rsidR="004F1DF9">
        <w:rPr>
          <w:rFonts w:ascii="Times New Roman" w:eastAsia="Times New Roman" w:hAnsi="Times New Roman"/>
          <w:sz w:val="24"/>
          <w:szCs w:val="28"/>
        </w:rPr>
        <w:t>.</w:t>
      </w:r>
      <w:r w:rsidRPr="004F1DF9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0B0028" w:rsidRPr="004F1DF9" w:rsidRDefault="008127D9" w:rsidP="004F1DF9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8"/>
        </w:rPr>
      </w:pPr>
      <w:r w:rsidRPr="004F1DF9">
        <w:rPr>
          <w:sz w:val="24"/>
          <w:szCs w:val="28"/>
        </w:rPr>
        <w:t>Я</w:t>
      </w:r>
      <w:r w:rsidRPr="004F1DF9">
        <w:rPr>
          <w:rFonts w:ascii="Times New Roman" w:eastAsia="Times New Roman" w:hAnsi="Times New Roman" w:cs="Times New Roman"/>
          <w:sz w:val="24"/>
          <w:szCs w:val="28"/>
        </w:rPr>
        <w:t xml:space="preserve">нч Э. Прогнозирование научно-технического прогресса. –М.: </w:t>
      </w:r>
      <w:r w:rsidRPr="004F1DF9">
        <w:rPr>
          <w:rFonts w:ascii="Times New Roman" w:eastAsia="Times New Roman" w:hAnsi="Times New Roman" w:cs="Times New Roman"/>
          <w:sz w:val="24"/>
          <w:szCs w:val="28"/>
        </w:rPr>
        <w:t>“</w:t>
      </w:r>
      <w:r w:rsidRPr="004F1DF9">
        <w:rPr>
          <w:rFonts w:ascii="Times New Roman" w:eastAsia="Times New Roman" w:hAnsi="Times New Roman" w:cs="Times New Roman"/>
          <w:sz w:val="24"/>
          <w:szCs w:val="28"/>
        </w:rPr>
        <w:t>Прогресс</w:t>
      </w:r>
      <w:r w:rsidRPr="004F1DF9">
        <w:rPr>
          <w:rFonts w:ascii="Times New Roman" w:eastAsia="Times New Roman" w:hAnsi="Times New Roman" w:cs="Times New Roman"/>
          <w:sz w:val="24"/>
          <w:szCs w:val="28"/>
        </w:rPr>
        <w:t>”</w:t>
      </w:r>
      <w:r w:rsidRPr="004F1DF9">
        <w:rPr>
          <w:rFonts w:ascii="Times New Roman" w:eastAsia="Times New Roman" w:hAnsi="Times New Roman" w:cs="Times New Roman"/>
          <w:sz w:val="24"/>
          <w:szCs w:val="28"/>
        </w:rPr>
        <w:t>, 1970.</w:t>
      </w:r>
    </w:p>
    <w:sectPr w:rsidR="000B0028" w:rsidRPr="004F1DF9" w:rsidSect="004F1DF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D7C68"/>
    <w:multiLevelType w:val="hybridMultilevel"/>
    <w:tmpl w:val="9B440B9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A7C77"/>
    <w:multiLevelType w:val="hybridMultilevel"/>
    <w:tmpl w:val="638E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B42F0"/>
    <w:multiLevelType w:val="hybridMultilevel"/>
    <w:tmpl w:val="6B82F52C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028"/>
    <w:rsid w:val="000B0028"/>
    <w:rsid w:val="004F1DF9"/>
    <w:rsid w:val="0081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ody Text Indent"/>
    <w:basedOn w:val="a"/>
    <w:pPr>
      <w:spacing w:after="120"/>
      <w:ind w:left="283"/>
    </w:pPr>
  </w:style>
  <w:style w:type="character" w:styleId="a6">
    <w:name w:val="Hyperlink"/>
    <w:basedOn w:val="a0"/>
    <w:uiPriority w:val="99"/>
    <w:unhideWhenUsed/>
    <w:rsid w:val="004F1D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2020-10-03T08:51:00Z</dcterms:created>
  <dcterms:modified xsi:type="dcterms:W3CDTF">2020-10-03T08:51:00Z</dcterms:modified>
  <cp:version>0900.0100.01</cp:version>
</cp:coreProperties>
</file>